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2" w:rsidRPr="00C51BE2" w:rsidRDefault="00C51BE2" w:rsidP="00C51BE2">
      <w:pPr>
        <w:pStyle w:val="Default"/>
        <w:jc w:val="center"/>
      </w:pPr>
    </w:p>
    <w:p w:rsidR="00C51BE2" w:rsidRPr="00C51BE2" w:rsidRDefault="00C51BE2" w:rsidP="00C51BE2">
      <w:pPr>
        <w:pStyle w:val="Default"/>
        <w:rPr>
          <w:bCs/>
          <w:i/>
          <w:iCs/>
        </w:rPr>
      </w:pPr>
      <w:r w:rsidRPr="00C51BE2">
        <w:rPr>
          <w:bCs/>
          <w:i/>
          <w:iCs/>
        </w:rPr>
        <w:t xml:space="preserve">Załącznik do Uchwały nr </w:t>
      </w:r>
      <w:r w:rsidR="0008030D">
        <w:rPr>
          <w:bCs/>
          <w:i/>
          <w:iCs/>
        </w:rPr>
        <w:t>11</w:t>
      </w:r>
      <w:r w:rsidRPr="00C51BE2">
        <w:rPr>
          <w:bCs/>
          <w:i/>
          <w:iCs/>
        </w:rPr>
        <w:t>/201</w:t>
      </w:r>
      <w:r w:rsidR="007731D0">
        <w:rPr>
          <w:bCs/>
          <w:i/>
          <w:iCs/>
        </w:rPr>
        <w:t>2</w:t>
      </w:r>
      <w:r w:rsidRPr="00C51BE2">
        <w:rPr>
          <w:bCs/>
          <w:i/>
          <w:iCs/>
        </w:rPr>
        <w:t xml:space="preserve"> r. MSSR</w:t>
      </w:r>
    </w:p>
    <w:p w:rsidR="00C51BE2" w:rsidRDefault="00C51BE2" w:rsidP="00EB4A05">
      <w:pPr>
        <w:pStyle w:val="Default"/>
        <w:ind w:left="5664" w:firstLine="708"/>
        <w:jc w:val="center"/>
      </w:pPr>
    </w:p>
    <w:p w:rsidR="00EB4A05" w:rsidRDefault="00EB4A05" w:rsidP="00E83085">
      <w:pPr>
        <w:pStyle w:val="Default"/>
        <w:jc w:val="center"/>
      </w:pPr>
    </w:p>
    <w:p w:rsidR="00E83085" w:rsidRPr="007B031E" w:rsidRDefault="00E83085" w:rsidP="00E83085">
      <w:pPr>
        <w:pStyle w:val="Default"/>
        <w:jc w:val="center"/>
      </w:pPr>
    </w:p>
    <w:p w:rsidR="00E83085" w:rsidRPr="007B031E" w:rsidRDefault="00E83085" w:rsidP="00E83085">
      <w:pPr>
        <w:pStyle w:val="Default"/>
        <w:jc w:val="center"/>
        <w:rPr>
          <w:b/>
          <w:bCs/>
        </w:rPr>
      </w:pPr>
      <w:r w:rsidRPr="007B031E">
        <w:rPr>
          <w:b/>
          <w:bCs/>
        </w:rPr>
        <w:t>Wskazówki dotyczące programu Leczenia i Rehabilitacji Stwardnienia Rozsianego (PLiR)</w:t>
      </w:r>
    </w:p>
    <w:p w:rsidR="00E83085" w:rsidRDefault="00E83085" w:rsidP="007B031E">
      <w:pPr>
        <w:pStyle w:val="Default"/>
        <w:rPr>
          <w:b/>
          <w:bCs/>
          <w:sz w:val="23"/>
          <w:szCs w:val="23"/>
        </w:rPr>
      </w:pPr>
    </w:p>
    <w:p w:rsidR="00E83085" w:rsidRDefault="00E83085" w:rsidP="00E83085">
      <w:pPr>
        <w:pStyle w:val="Default"/>
        <w:jc w:val="center"/>
        <w:rPr>
          <w:sz w:val="23"/>
          <w:szCs w:val="23"/>
        </w:rPr>
      </w:pPr>
    </w:p>
    <w:p w:rsidR="00E83085" w:rsidRDefault="00E83085" w:rsidP="00E83085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Cele Programu</w:t>
      </w:r>
    </w:p>
    <w:p w:rsidR="00E83085" w:rsidRDefault="00E83085" w:rsidP="000C3B01">
      <w:pPr>
        <w:pStyle w:val="Default"/>
        <w:ind w:left="720"/>
        <w:rPr>
          <w:sz w:val="23"/>
          <w:szCs w:val="23"/>
        </w:rPr>
      </w:pPr>
    </w:p>
    <w:p w:rsidR="00E83085" w:rsidRDefault="00E83085" w:rsidP="00E83085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1.1</w:t>
      </w:r>
      <w:r w:rsidR="00E360C6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Mając na względzie trudną sytuację chorych na stwardnienie rozsiane (SM) w Polsce, brak lub utrudniony dostęp do leków, leczenia i środków wpływających na poprawę jakości życia osób z SM</w:t>
      </w:r>
      <w:r w:rsidR="00353F36">
        <w:rPr>
          <w:sz w:val="23"/>
          <w:szCs w:val="23"/>
        </w:rPr>
        <w:t xml:space="preserve"> i innymi chorobami neurologicznymi</w:t>
      </w:r>
      <w:r>
        <w:rPr>
          <w:sz w:val="23"/>
          <w:szCs w:val="23"/>
        </w:rPr>
        <w:t xml:space="preserve">, </w:t>
      </w:r>
      <w:r w:rsidRPr="002B6F4A">
        <w:t>Mieleckie Stowarzyszenie Chorych Na Stwardnienie Rozsiane(MSSR)</w:t>
      </w:r>
      <w:r w:rsidRPr="002B6F4A">
        <w:rPr>
          <w:b/>
        </w:rPr>
        <w:t xml:space="preserve"> </w:t>
      </w:r>
      <w:r>
        <w:rPr>
          <w:sz w:val="23"/>
          <w:szCs w:val="23"/>
        </w:rPr>
        <w:t xml:space="preserve">postanawia ułatwić dostęp do wspomnianych środków i świadczeń poprzez realizację Programu Leczenia i Rehabilitacji Stwardnienia Rozsianego. </w:t>
      </w:r>
    </w:p>
    <w:p w:rsidR="00E83085" w:rsidRDefault="00E83085" w:rsidP="00E83085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1.2.</w:t>
      </w:r>
      <w:r>
        <w:rPr>
          <w:sz w:val="23"/>
          <w:szCs w:val="23"/>
        </w:rPr>
        <w:t xml:space="preserve"> Program Leczenia i Rehabilitacji ma na celu pomoc osobom w przezwyciężaniu trudnych sytuacji życiowych, których nie są one w stanie same pokonać, wykorzystując własne uprawnienia, zasoby i możliwości. </w:t>
      </w:r>
    </w:p>
    <w:p w:rsidR="000C3B01" w:rsidRDefault="000C3B01" w:rsidP="00E83085">
      <w:pPr>
        <w:pStyle w:val="Default"/>
        <w:rPr>
          <w:sz w:val="23"/>
          <w:szCs w:val="23"/>
        </w:rPr>
      </w:pPr>
    </w:p>
    <w:p w:rsidR="00E83085" w:rsidRDefault="00E83085" w:rsidP="00E830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Adresaci Programu</w:t>
      </w:r>
    </w:p>
    <w:p w:rsidR="000C3B01" w:rsidRDefault="000C3B01" w:rsidP="00E83085">
      <w:pPr>
        <w:pStyle w:val="Default"/>
        <w:jc w:val="center"/>
        <w:rPr>
          <w:sz w:val="23"/>
          <w:szCs w:val="23"/>
        </w:rPr>
      </w:pPr>
    </w:p>
    <w:p w:rsidR="00E83085" w:rsidRDefault="00E83085" w:rsidP="000C3B01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2.1.</w:t>
      </w:r>
      <w:r>
        <w:rPr>
          <w:sz w:val="23"/>
          <w:szCs w:val="23"/>
        </w:rPr>
        <w:t xml:space="preserve"> Program Leczenia i Rehabilitacji Stwardnienia Rozsianego (PLiR) skierowany jest do członków MSSR</w:t>
      </w:r>
      <w:r w:rsidR="00FC104A">
        <w:rPr>
          <w:sz w:val="23"/>
          <w:szCs w:val="23"/>
        </w:rPr>
        <w:t xml:space="preserve"> (zgodnie ze statutem).</w:t>
      </w:r>
    </w:p>
    <w:p w:rsidR="00E83085" w:rsidRDefault="00E83085" w:rsidP="00E83085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2.2.</w:t>
      </w:r>
      <w:r>
        <w:rPr>
          <w:sz w:val="23"/>
          <w:szCs w:val="23"/>
        </w:rPr>
        <w:t xml:space="preserve"> Warunkiem korzystania z PLiR jest podpisanie porozumienia </w:t>
      </w:r>
    </w:p>
    <w:p w:rsidR="00E83085" w:rsidRDefault="00E83085" w:rsidP="00E83085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2.</w:t>
      </w:r>
      <w:r w:rsidR="007B031E" w:rsidRPr="00E360C6">
        <w:rPr>
          <w:b/>
          <w:sz w:val="23"/>
          <w:szCs w:val="23"/>
        </w:rPr>
        <w:t>3</w:t>
      </w:r>
      <w:r w:rsidRPr="00E360C6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W szczególnie uzasadnionych indywidualnych przypadkach z PLiR mogą korzystać osoby z innymi schorzeniami neurologicznymi będącymi członkami MSSR. </w:t>
      </w:r>
    </w:p>
    <w:p w:rsidR="000C3B01" w:rsidRDefault="000C3B01" w:rsidP="00E83085">
      <w:pPr>
        <w:pStyle w:val="Default"/>
        <w:rPr>
          <w:sz w:val="23"/>
          <w:szCs w:val="23"/>
        </w:rPr>
      </w:pPr>
    </w:p>
    <w:p w:rsidR="00E83085" w:rsidRDefault="00E83085" w:rsidP="007B031E">
      <w:pPr>
        <w:pStyle w:val="Default"/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korzystania z Programu</w:t>
      </w:r>
    </w:p>
    <w:p w:rsidR="000C3B01" w:rsidRDefault="000C3B01" w:rsidP="007B031E">
      <w:pPr>
        <w:pStyle w:val="Default"/>
        <w:ind w:left="1080"/>
        <w:rPr>
          <w:sz w:val="23"/>
          <w:szCs w:val="23"/>
        </w:rPr>
      </w:pPr>
    </w:p>
    <w:p w:rsidR="00F270FD" w:rsidRDefault="00E83085" w:rsidP="00F270FD">
      <w:pPr>
        <w:pStyle w:val="Default"/>
        <w:numPr>
          <w:ilvl w:val="1"/>
          <w:numId w:val="5"/>
        </w:numPr>
        <w:ind w:left="426" w:hanging="426"/>
        <w:rPr>
          <w:sz w:val="23"/>
          <w:szCs w:val="23"/>
        </w:rPr>
      </w:pPr>
      <w:r>
        <w:rPr>
          <w:sz w:val="23"/>
          <w:szCs w:val="23"/>
        </w:rPr>
        <w:t>W ramach PLiR możliwe jest finansowanie zakupu wyłącznie preparatów, środków medycznych i pomocniczych oraz postępowania rehabilitacyjnego, których stosowanie jest zgodne ze standardami europejskimi postępowania w SM</w:t>
      </w:r>
      <w:r w:rsidR="00EB4A05">
        <w:rPr>
          <w:sz w:val="23"/>
          <w:szCs w:val="23"/>
        </w:rPr>
        <w:t xml:space="preserve"> i chorobami związanymi z niepełnosprawnością </w:t>
      </w:r>
      <w:r w:rsidR="00F270FD">
        <w:rPr>
          <w:sz w:val="23"/>
          <w:szCs w:val="23"/>
        </w:rPr>
        <w:t xml:space="preserve">narządu </w:t>
      </w:r>
      <w:r w:rsidR="00EB4A05">
        <w:rPr>
          <w:sz w:val="23"/>
          <w:szCs w:val="23"/>
        </w:rPr>
        <w:t>ruchu</w:t>
      </w:r>
      <w:r>
        <w:rPr>
          <w:sz w:val="23"/>
          <w:szCs w:val="23"/>
        </w:rPr>
        <w:t>.</w:t>
      </w:r>
    </w:p>
    <w:p w:rsidR="00E83085" w:rsidRDefault="00E83085" w:rsidP="00F270FD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 W szczególności: </w:t>
      </w:r>
    </w:p>
    <w:p w:rsidR="00E83085" w:rsidRDefault="00E83085" w:rsidP="00F270FD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zakupu</w:t>
      </w:r>
      <w:proofErr w:type="gramEnd"/>
      <w:r>
        <w:rPr>
          <w:sz w:val="23"/>
          <w:szCs w:val="23"/>
        </w:rPr>
        <w:t xml:space="preserve"> leków immunomodulujących; </w:t>
      </w:r>
    </w:p>
    <w:p w:rsidR="00E83085" w:rsidRDefault="00E83085" w:rsidP="00F270FD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zakupu</w:t>
      </w:r>
      <w:proofErr w:type="gramEnd"/>
      <w:r>
        <w:rPr>
          <w:sz w:val="23"/>
          <w:szCs w:val="23"/>
        </w:rPr>
        <w:t xml:space="preserve"> leków łagodzących objawy choroby</w:t>
      </w:r>
      <w:r w:rsidR="000C3B01">
        <w:rPr>
          <w:sz w:val="23"/>
          <w:szCs w:val="23"/>
        </w:rPr>
        <w:t>, wspomagających i uodparniających organizm</w:t>
      </w:r>
      <w:r w:rsidR="00493590">
        <w:rPr>
          <w:sz w:val="23"/>
          <w:szCs w:val="23"/>
        </w:rPr>
        <w:t>;</w:t>
      </w:r>
      <w:r w:rsidR="000C3B0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:rsidR="00E83085" w:rsidRDefault="00DB77E4" w:rsidP="00F270FD">
      <w:pPr>
        <w:pStyle w:val="Default"/>
        <w:numPr>
          <w:ilvl w:val="0"/>
          <w:numId w:val="2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kosztów</w:t>
      </w:r>
      <w:proofErr w:type="gramEnd"/>
      <w:r>
        <w:rPr>
          <w:sz w:val="23"/>
          <w:szCs w:val="23"/>
        </w:rPr>
        <w:t xml:space="preserve"> </w:t>
      </w:r>
      <w:r w:rsidR="00E83085">
        <w:rPr>
          <w:sz w:val="23"/>
          <w:szCs w:val="23"/>
        </w:rPr>
        <w:t xml:space="preserve">terapii psychologicznej, terapii urologicznej, logopedycznej </w:t>
      </w:r>
      <w:r w:rsidR="009151E2">
        <w:rPr>
          <w:sz w:val="23"/>
          <w:szCs w:val="23"/>
        </w:rPr>
        <w:t xml:space="preserve">i </w:t>
      </w:r>
      <w:r w:rsidR="00E83085">
        <w:rPr>
          <w:sz w:val="23"/>
          <w:szCs w:val="23"/>
        </w:rPr>
        <w:t xml:space="preserve">innych łagodzących objawy </w:t>
      </w:r>
      <w:r w:rsidR="009151E2">
        <w:rPr>
          <w:sz w:val="23"/>
          <w:szCs w:val="23"/>
        </w:rPr>
        <w:t>c</w:t>
      </w:r>
      <w:r w:rsidR="00E83085">
        <w:rPr>
          <w:sz w:val="23"/>
          <w:szCs w:val="23"/>
        </w:rPr>
        <w:t xml:space="preserve">horoby, na podstawie wskazań lekarskich; </w:t>
      </w:r>
    </w:p>
    <w:p w:rsidR="00E83085" w:rsidRDefault="00E83085" w:rsidP="00F270FD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zabiegów</w:t>
      </w:r>
      <w:proofErr w:type="gramEnd"/>
      <w:r>
        <w:rPr>
          <w:sz w:val="23"/>
          <w:szCs w:val="23"/>
        </w:rPr>
        <w:t xml:space="preserve"> rehabilitacyjnych i turnusów rehabilitacyjnych; </w:t>
      </w:r>
    </w:p>
    <w:p w:rsidR="00E83085" w:rsidRDefault="00E83085" w:rsidP="00F270FD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zakupu</w:t>
      </w:r>
      <w:proofErr w:type="gramEnd"/>
      <w:r>
        <w:rPr>
          <w:sz w:val="23"/>
          <w:szCs w:val="23"/>
        </w:rPr>
        <w:t xml:space="preserve"> przyrządów i sprzętów do rehabilitacji; </w:t>
      </w:r>
    </w:p>
    <w:p w:rsidR="00E83085" w:rsidRDefault="00E83085" w:rsidP="00F270FD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zakupu</w:t>
      </w:r>
      <w:proofErr w:type="gramEnd"/>
      <w:r>
        <w:rPr>
          <w:sz w:val="23"/>
          <w:szCs w:val="23"/>
        </w:rPr>
        <w:t xml:space="preserve"> wózków inwalidzkich oraz innych sprzętów ułatwiających poruszanie się osoby niepełnosprawnej ruchowo</w:t>
      </w:r>
      <w:r w:rsidR="00DB77E4">
        <w:rPr>
          <w:sz w:val="23"/>
          <w:szCs w:val="23"/>
        </w:rPr>
        <w:t>, oraz kosztów związaniem z ich naprawą</w:t>
      </w:r>
      <w:r>
        <w:rPr>
          <w:sz w:val="23"/>
          <w:szCs w:val="23"/>
        </w:rPr>
        <w:t xml:space="preserve">; </w:t>
      </w:r>
    </w:p>
    <w:p w:rsidR="00C03D80" w:rsidRPr="00DB77E4" w:rsidRDefault="00E83085" w:rsidP="00C03D80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 w:rsidRPr="00DB77E4">
        <w:rPr>
          <w:sz w:val="23"/>
          <w:szCs w:val="23"/>
        </w:rPr>
        <w:t>zakupu</w:t>
      </w:r>
      <w:proofErr w:type="gramEnd"/>
      <w:r w:rsidRPr="00DB77E4">
        <w:rPr>
          <w:sz w:val="23"/>
          <w:szCs w:val="23"/>
        </w:rPr>
        <w:t xml:space="preserve"> sprzętu ułatwiającego likwidację barier komunikacyjnych</w:t>
      </w:r>
      <w:r w:rsidR="00BD6A95" w:rsidRPr="00DB77E4">
        <w:rPr>
          <w:sz w:val="23"/>
          <w:szCs w:val="23"/>
        </w:rPr>
        <w:t>, architektonicznych i technicznych</w:t>
      </w:r>
      <w:r w:rsidRPr="00DB77E4">
        <w:rPr>
          <w:sz w:val="23"/>
          <w:szCs w:val="23"/>
        </w:rPr>
        <w:t xml:space="preserve"> wynikających z niepełnosprawności związanej z </w:t>
      </w:r>
      <w:r w:rsidR="00405F7A" w:rsidRPr="00DB77E4">
        <w:rPr>
          <w:sz w:val="23"/>
          <w:szCs w:val="23"/>
        </w:rPr>
        <w:t>chorobą</w:t>
      </w:r>
      <w:r w:rsidR="00BD6A95" w:rsidRPr="00DB77E4">
        <w:rPr>
          <w:sz w:val="23"/>
          <w:szCs w:val="23"/>
        </w:rPr>
        <w:t xml:space="preserve">, </w:t>
      </w:r>
      <w:r w:rsidR="00DB77E4" w:rsidRPr="00DB77E4">
        <w:rPr>
          <w:sz w:val="23"/>
          <w:szCs w:val="23"/>
        </w:rPr>
        <w:t>(na podstawie orzeczenia o stopniu niepełnosprawności)</w:t>
      </w:r>
      <w:r w:rsidR="00DB77E4">
        <w:rPr>
          <w:sz w:val="23"/>
          <w:szCs w:val="23"/>
        </w:rPr>
        <w:t>.</w:t>
      </w:r>
      <w:r w:rsidR="00DB77E4" w:rsidRPr="00DB77E4">
        <w:rPr>
          <w:sz w:val="23"/>
          <w:szCs w:val="23"/>
        </w:rPr>
        <w:t xml:space="preserve"> </w:t>
      </w:r>
      <w:r w:rsidR="00DB77E4">
        <w:rPr>
          <w:sz w:val="23"/>
          <w:szCs w:val="23"/>
        </w:rPr>
        <w:t>R</w:t>
      </w:r>
      <w:r w:rsidR="00BD6A95" w:rsidRPr="00DB77E4">
        <w:rPr>
          <w:sz w:val="23"/>
          <w:szCs w:val="23"/>
        </w:rPr>
        <w:t xml:space="preserve">ównież pokrywa się koszty współfinansowane z PFRON stanowiące % udział wkładu własnego. (W tym przypadku dopuszcza się opłacenie faktury wystawionej na osobę fizyczną z dopiskiem płatne przez MSSR </w:t>
      </w:r>
      <w:r w:rsidR="00405F7A" w:rsidRPr="00DB77E4">
        <w:rPr>
          <w:sz w:val="23"/>
          <w:szCs w:val="23"/>
        </w:rPr>
        <w:t>;</w:t>
      </w:r>
      <w:r w:rsidRPr="00DB77E4">
        <w:rPr>
          <w:sz w:val="23"/>
          <w:szCs w:val="23"/>
        </w:rPr>
        <w:t xml:space="preserve"> </w:t>
      </w:r>
    </w:p>
    <w:p w:rsidR="00E83085" w:rsidRDefault="00E83085" w:rsidP="00F270FD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t>zakupu</w:t>
      </w:r>
      <w:proofErr w:type="gramEnd"/>
      <w:r>
        <w:rPr>
          <w:sz w:val="23"/>
          <w:szCs w:val="23"/>
        </w:rPr>
        <w:t xml:space="preserve"> środków higienicznych związanych z problemami z nietrzymaniem moczu w SM; </w:t>
      </w:r>
    </w:p>
    <w:p w:rsidR="00D16E42" w:rsidRDefault="00D16E42" w:rsidP="00F270FD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kosztów</w:t>
      </w:r>
      <w:proofErr w:type="gramEnd"/>
      <w:r>
        <w:rPr>
          <w:sz w:val="23"/>
          <w:szCs w:val="23"/>
        </w:rPr>
        <w:t xml:space="preserve"> prywatnych specjalistycznych wizyt lekarskich;</w:t>
      </w:r>
    </w:p>
    <w:p w:rsidR="00E83085" w:rsidRDefault="00405F7A" w:rsidP="00E83085">
      <w:pPr>
        <w:pStyle w:val="Default"/>
        <w:numPr>
          <w:ilvl w:val="0"/>
          <w:numId w:val="3"/>
        </w:numPr>
        <w:ind w:left="714" w:hanging="357"/>
        <w:rPr>
          <w:sz w:val="23"/>
          <w:szCs w:val="23"/>
        </w:rPr>
      </w:pPr>
      <w:proofErr w:type="gramStart"/>
      <w:r w:rsidRPr="009151E2">
        <w:rPr>
          <w:sz w:val="23"/>
          <w:szCs w:val="23"/>
        </w:rPr>
        <w:t>kosztów</w:t>
      </w:r>
      <w:proofErr w:type="gramEnd"/>
      <w:r w:rsidRPr="009151E2">
        <w:rPr>
          <w:sz w:val="23"/>
          <w:szCs w:val="23"/>
        </w:rPr>
        <w:t xml:space="preserve"> związanych z kupnem przyrządów do aplikacji leków oraz ich przechowywania;</w:t>
      </w:r>
    </w:p>
    <w:p w:rsidR="009151E2" w:rsidRPr="009151E2" w:rsidRDefault="009151E2" w:rsidP="009151E2">
      <w:pPr>
        <w:pStyle w:val="Default"/>
        <w:ind w:left="714"/>
        <w:rPr>
          <w:sz w:val="23"/>
          <w:szCs w:val="23"/>
        </w:rPr>
      </w:pPr>
    </w:p>
    <w:p w:rsidR="00E83085" w:rsidRDefault="00E83085" w:rsidP="000B4EF2">
      <w:pPr>
        <w:pStyle w:val="Default"/>
        <w:rPr>
          <w:sz w:val="23"/>
          <w:szCs w:val="23"/>
        </w:rPr>
      </w:pPr>
      <w:r w:rsidRPr="00E360C6">
        <w:rPr>
          <w:b/>
          <w:sz w:val="23"/>
          <w:szCs w:val="23"/>
        </w:rPr>
        <w:t>3.2.</w:t>
      </w:r>
      <w:r>
        <w:rPr>
          <w:sz w:val="23"/>
          <w:szCs w:val="23"/>
        </w:rPr>
        <w:t xml:space="preserve"> W ramach PLiR możliwe jest finansowanie </w:t>
      </w:r>
      <w:r w:rsidR="00D16E42">
        <w:rPr>
          <w:sz w:val="23"/>
          <w:szCs w:val="23"/>
        </w:rPr>
        <w:t xml:space="preserve">kosztów związanych z </w:t>
      </w:r>
      <w:r>
        <w:rPr>
          <w:sz w:val="23"/>
          <w:szCs w:val="23"/>
        </w:rPr>
        <w:t>przejazd</w:t>
      </w:r>
      <w:r w:rsidR="00D16E42">
        <w:rPr>
          <w:sz w:val="23"/>
          <w:szCs w:val="23"/>
        </w:rPr>
        <w:t>em</w:t>
      </w:r>
      <w:r>
        <w:rPr>
          <w:sz w:val="23"/>
          <w:szCs w:val="23"/>
        </w:rPr>
        <w:t xml:space="preserve"> osoby chorej na </w:t>
      </w:r>
      <w:r w:rsidR="00D16E42">
        <w:rPr>
          <w:sz w:val="23"/>
          <w:szCs w:val="23"/>
        </w:rPr>
        <w:t>leczenie</w:t>
      </w:r>
      <w:proofErr w:type="gramStart"/>
      <w:r w:rsidR="00D16E42">
        <w:rPr>
          <w:sz w:val="23"/>
          <w:szCs w:val="23"/>
        </w:rPr>
        <w:t>,</w:t>
      </w:r>
      <w:r>
        <w:rPr>
          <w:sz w:val="23"/>
          <w:szCs w:val="23"/>
        </w:rPr>
        <w:t>turnus</w:t>
      </w:r>
      <w:proofErr w:type="gramEnd"/>
      <w:r>
        <w:rPr>
          <w:sz w:val="23"/>
          <w:szCs w:val="23"/>
        </w:rPr>
        <w:t xml:space="preserve"> rehabilitacyjn</w:t>
      </w:r>
      <w:r w:rsidR="00D16E42">
        <w:rPr>
          <w:sz w:val="23"/>
          <w:szCs w:val="23"/>
        </w:rPr>
        <w:t>y</w:t>
      </w:r>
      <w:r w:rsidR="004F6631">
        <w:rPr>
          <w:sz w:val="23"/>
          <w:szCs w:val="23"/>
        </w:rPr>
        <w:t>, rehabilitację</w:t>
      </w:r>
      <w:r w:rsidR="00D16E42">
        <w:rPr>
          <w:sz w:val="23"/>
          <w:szCs w:val="23"/>
        </w:rPr>
        <w:t>,</w:t>
      </w:r>
      <w:r w:rsidR="004F6631">
        <w:rPr>
          <w:sz w:val="23"/>
          <w:szCs w:val="23"/>
        </w:rPr>
        <w:t xml:space="preserve"> dojazd </w:t>
      </w:r>
      <w:r w:rsidR="00AD79CD">
        <w:rPr>
          <w:sz w:val="23"/>
          <w:szCs w:val="23"/>
        </w:rPr>
        <w:t>do lekarzy specjalistów poza miejscem zamieszkania</w:t>
      </w:r>
      <w:r w:rsidR="004F6631">
        <w:rPr>
          <w:sz w:val="23"/>
          <w:szCs w:val="23"/>
        </w:rPr>
        <w:t>.</w:t>
      </w:r>
      <w:r w:rsidR="00237F86">
        <w:rPr>
          <w:sz w:val="23"/>
          <w:szCs w:val="23"/>
        </w:rPr>
        <w:t xml:space="preserve"> (Poparte zaświadczeniem o odbytej podróży)</w:t>
      </w:r>
      <w:r>
        <w:rPr>
          <w:sz w:val="23"/>
          <w:szCs w:val="23"/>
        </w:rPr>
        <w:t xml:space="preserve"> </w:t>
      </w:r>
    </w:p>
    <w:p w:rsidR="00896B89" w:rsidRDefault="00896B89" w:rsidP="000B4EF2">
      <w:pPr>
        <w:pStyle w:val="Default"/>
        <w:rPr>
          <w:sz w:val="23"/>
          <w:szCs w:val="23"/>
        </w:rPr>
      </w:pPr>
    </w:p>
    <w:p w:rsidR="00607935" w:rsidRDefault="00D62190" w:rsidP="00D62190">
      <w:pPr>
        <w:pStyle w:val="Default"/>
        <w:tabs>
          <w:tab w:val="left" w:pos="567"/>
        </w:tabs>
        <w:rPr>
          <w:color w:val="auto"/>
          <w:sz w:val="23"/>
          <w:szCs w:val="23"/>
        </w:rPr>
      </w:pPr>
      <w:r w:rsidRPr="00D62190">
        <w:rPr>
          <w:b/>
          <w:sz w:val="23"/>
          <w:szCs w:val="23"/>
        </w:rPr>
        <w:t>3.3.</w:t>
      </w:r>
      <w:r w:rsidR="00F15828" w:rsidRPr="00F15828">
        <w:rPr>
          <w:sz w:val="23"/>
          <w:szCs w:val="23"/>
        </w:rPr>
        <w:t xml:space="preserve">W ramach Programu nie może być pokrywany zakup paraleków </w:t>
      </w:r>
      <w:r w:rsidR="00F15828" w:rsidRPr="00F15828">
        <w:rPr>
          <w:color w:val="auto"/>
          <w:sz w:val="23"/>
          <w:szCs w:val="23"/>
        </w:rPr>
        <w:t>oraz nie może być</w:t>
      </w:r>
      <w:r w:rsidR="00F15828" w:rsidRPr="00F15828">
        <w:rPr>
          <w:sz w:val="23"/>
          <w:szCs w:val="23"/>
        </w:rPr>
        <w:t xml:space="preserve"> </w:t>
      </w:r>
      <w:r w:rsidR="00F15828" w:rsidRPr="00F15828">
        <w:rPr>
          <w:color w:val="auto"/>
          <w:sz w:val="23"/>
          <w:szCs w:val="23"/>
        </w:rPr>
        <w:t>finansowana terapia niezgodna ze standardami Parlamentu Europejskieg</w:t>
      </w:r>
      <w:r>
        <w:rPr>
          <w:color w:val="auto"/>
          <w:sz w:val="23"/>
          <w:szCs w:val="23"/>
        </w:rPr>
        <w:t>.</w:t>
      </w:r>
      <w:r w:rsidR="00607935">
        <w:rPr>
          <w:color w:val="auto"/>
          <w:sz w:val="23"/>
          <w:szCs w:val="23"/>
        </w:rPr>
        <w:t xml:space="preserve"> </w:t>
      </w:r>
    </w:p>
    <w:p w:rsidR="00607935" w:rsidRPr="00607935" w:rsidRDefault="00607935" w:rsidP="00607935">
      <w:pPr>
        <w:pStyle w:val="Default"/>
        <w:jc w:val="both"/>
        <w:rPr>
          <w:color w:val="auto"/>
          <w:sz w:val="23"/>
          <w:szCs w:val="23"/>
        </w:rPr>
      </w:pPr>
    </w:p>
    <w:p w:rsidR="007B031E" w:rsidRDefault="007B031E" w:rsidP="000B4EF2">
      <w:pPr>
        <w:pStyle w:val="Default"/>
        <w:jc w:val="both"/>
      </w:pPr>
      <w:r w:rsidRPr="00E360C6">
        <w:rPr>
          <w:b/>
          <w:sz w:val="23"/>
          <w:szCs w:val="23"/>
        </w:rPr>
        <w:t>3.4.</w:t>
      </w:r>
      <w:r w:rsidRPr="007B031E">
        <w:rPr>
          <w:sz w:val="23"/>
          <w:szCs w:val="23"/>
        </w:rPr>
        <w:t xml:space="preserve"> W </w:t>
      </w:r>
      <w:proofErr w:type="gramStart"/>
      <w:r w:rsidRPr="007B031E">
        <w:rPr>
          <w:sz w:val="23"/>
          <w:szCs w:val="23"/>
        </w:rPr>
        <w:t>uzasadnionych  przypadkach</w:t>
      </w:r>
      <w:proofErr w:type="gramEnd"/>
      <w:r w:rsidRPr="007B031E">
        <w:rPr>
          <w:sz w:val="23"/>
          <w:szCs w:val="23"/>
        </w:rPr>
        <w:t xml:space="preserve"> istnieje możliwość  wprowadzenia aneksu do niniejszych   wskazówek  przez  Zarząd.</w:t>
      </w:r>
      <w:r>
        <w:t xml:space="preserve"> </w:t>
      </w:r>
    </w:p>
    <w:p w:rsidR="00D62190" w:rsidRDefault="00D62190" w:rsidP="000B4EF2">
      <w:pPr>
        <w:pStyle w:val="Default"/>
        <w:jc w:val="both"/>
      </w:pPr>
    </w:p>
    <w:p w:rsidR="00D62190" w:rsidRDefault="00D62190" w:rsidP="000B4EF2">
      <w:pPr>
        <w:pStyle w:val="Default"/>
        <w:jc w:val="both"/>
        <w:rPr>
          <w:sz w:val="23"/>
          <w:szCs w:val="23"/>
        </w:rPr>
      </w:pPr>
      <w:r>
        <w:t xml:space="preserve">3.5. </w:t>
      </w:r>
      <w:r w:rsidRPr="00D62190">
        <w:rPr>
          <w:sz w:val="23"/>
          <w:szCs w:val="23"/>
        </w:rPr>
        <w:t xml:space="preserve">Sprzęt zakupiony </w:t>
      </w:r>
      <w:r>
        <w:rPr>
          <w:sz w:val="23"/>
          <w:szCs w:val="23"/>
        </w:rPr>
        <w:t xml:space="preserve">przez Stowarzyszenie </w:t>
      </w:r>
      <w:r w:rsidRPr="00D62190">
        <w:rPr>
          <w:sz w:val="23"/>
          <w:szCs w:val="23"/>
        </w:rPr>
        <w:t>w ramach PLI</w:t>
      </w:r>
      <w:r>
        <w:rPr>
          <w:sz w:val="23"/>
          <w:szCs w:val="23"/>
        </w:rPr>
        <w:t>i</w:t>
      </w:r>
      <w:r w:rsidRPr="00D62190">
        <w:rPr>
          <w:sz w:val="23"/>
          <w:szCs w:val="23"/>
        </w:rPr>
        <w:t>R</w:t>
      </w:r>
      <w:r>
        <w:rPr>
          <w:sz w:val="23"/>
          <w:szCs w:val="23"/>
        </w:rPr>
        <w:t xml:space="preserve"> zostaje przekazany do użytkowania uczestnkowi programu, a po 2 latach użytkowania zostaje przekazany na własność protokołem przekazania.</w:t>
      </w:r>
    </w:p>
    <w:p w:rsidR="00E83085" w:rsidRDefault="00E83085" w:rsidP="00E83085">
      <w:pPr>
        <w:pStyle w:val="Default"/>
        <w:rPr>
          <w:sz w:val="23"/>
          <w:szCs w:val="23"/>
        </w:rPr>
      </w:pPr>
    </w:p>
    <w:p w:rsidR="00D21259" w:rsidRPr="000B4EF2" w:rsidRDefault="00D21259" w:rsidP="00D21259">
      <w:pPr>
        <w:pStyle w:val="Default"/>
        <w:rPr>
          <w:b/>
          <w:sz w:val="23"/>
          <w:szCs w:val="23"/>
        </w:rPr>
      </w:pPr>
    </w:p>
    <w:p w:rsidR="00E83085" w:rsidRPr="004F6631" w:rsidRDefault="00E83085" w:rsidP="00D21259">
      <w:pPr>
        <w:pStyle w:val="Default"/>
        <w:rPr>
          <w:i/>
          <w:iCs/>
          <w:sz w:val="23"/>
          <w:szCs w:val="23"/>
        </w:rPr>
      </w:pPr>
      <w:r w:rsidRPr="004F6631">
        <w:rPr>
          <w:i/>
          <w:iCs/>
          <w:sz w:val="23"/>
          <w:szCs w:val="23"/>
        </w:rPr>
        <w:t xml:space="preserve">Oświadczam, że zapoznałem się z założeniami </w:t>
      </w:r>
      <w:r w:rsidRPr="004F6631">
        <w:rPr>
          <w:b/>
          <w:i/>
          <w:iCs/>
          <w:sz w:val="23"/>
          <w:szCs w:val="23"/>
        </w:rPr>
        <w:t>Programu Leczenia i Rehabilitacji</w:t>
      </w:r>
      <w:r w:rsidRPr="004F6631">
        <w:rPr>
          <w:i/>
          <w:iCs/>
          <w:sz w:val="23"/>
          <w:szCs w:val="23"/>
        </w:rPr>
        <w:t xml:space="preserve"> i w pełni je akceptuję. </w:t>
      </w:r>
    </w:p>
    <w:p w:rsidR="007B031E" w:rsidRDefault="007B031E" w:rsidP="00D21259">
      <w:pPr>
        <w:pStyle w:val="Default"/>
        <w:rPr>
          <w:i/>
          <w:iCs/>
          <w:sz w:val="23"/>
          <w:szCs w:val="23"/>
        </w:rPr>
      </w:pPr>
    </w:p>
    <w:p w:rsidR="007B031E" w:rsidRDefault="007B031E" w:rsidP="00D21259">
      <w:pPr>
        <w:pStyle w:val="Default"/>
        <w:rPr>
          <w:sz w:val="23"/>
          <w:szCs w:val="23"/>
        </w:rPr>
      </w:pPr>
    </w:p>
    <w:p w:rsidR="00E83085" w:rsidRDefault="00E83085" w:rsidP="00E8308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……………………………………………… </w:t>
      </w:r>
    </w:p>
    <w:p w:rsidR="007B031E" w:rsidRDefault="007B031E" w:rsidP="00E83085">
      <w:pPr>
        <w:pStyle w:val="Default"/>
        <w:rPr>
          <w:sz w:val="23"/>
          <w:szCs w:val="23"/>
        </w:rPr>
      </w:pPr>
    </w:p>
    <w:p w:rsidR="00E83085" w:rsidRDefault="00E83085" w:rsidP="00E8308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i data </w:t>
      </w:r>
    </w:p>
    <w:p w:rsidR="005E1E90" w:rsidRPr="00E83085" w:rsidRDefault="005E1E90" w:rsidP="00E83085">
      <w:pPr>
        <w:rPr>
          <w:lang w:val="pl-PL"/>
        </w:rPr>
      </w:pPr>
    </w:p>
    <w:sectPr w:rsidR="005E1E90" w:rsidRPr="00E83085" w:rsidSect="009151E2">
      <w:pgSz w:w="11906" w:h="16838"/>
      <w:pgMar w:top="1417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5B" w:rsidRDefault="00470F5B" w:rsidP="00DB77E4">
      <w:r>
        <w:separator/>
      </w:r>
    </w:p>
  </w:endnote>
  <w:endnote w:type="continuationSeparator" w:id="0">
    <w:p w:rsidR="00470F5B" w:rsidRDefault="00470F5B" w:rsidP="00DB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5B" w:rsidRDefault="00470F5B" w:rsidP="00DB77E4">
      <w:r>
        <w:separator/>
      </w:r>
    </w:p>
  </w:footnote>
  <w:footnote w:type="continuationSeparator" w:id="0">
    <w:p w:rsidR="00470F5B" w:rsidRDefault="00470F5B" w:rsidP="00DB7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D7F"/>
    <w:multiLevelType w:val="hybridMultilevel"/>
    <w:tmpl w:val="8B2E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792A"/>
    <w:multiLevelType w:val="hybridMultilevel"/>
    <w:tmpl w:val="73D4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7447"/>
    <w:multiLevelType w:val="hybridMultilevel"/>
    <w:tmpl w:val="3662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335A"/>
    <w:multiLevelType w:val="multilevel"/>
    <w:tmpl w:val="CF568E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7E252FA3"/>
    <w:multiLevelType w:val="hybridMultilevel"/>
    <w:tmpl w:val="9448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085"/>
    <w:rsid w:val="00020557"/>
    <w:rsid w:val="00046F64"/>
    <w:rsid w:val="0008030D"/>
    <w:rsid w:val="000B4EF2"/>
    <w:rsid w:val="000C3B01"/>
    <w:rsid w:val="00105394"/>
    <w:rsid w:val="00231DA5"/>
    <w:rsid w:val="00232D12"/>
    <w:rsid w:val="00237F86"/>
    <w:rsid w:val="002944E7"/>
    <w:rsid w:val="003409D8"/>
    <w:rsid w:val="00353F36"/>
    <w:rsid w:val="003B66AF"/>
    <w:rsid w:val="003E6382"/>
    <w:rsid w:val="00405F7A"/>
    <w:rsid w:val="004249AD"/>
    <w:rsid w:val="00470F5B"/>
    <w:rsid w:val="00493590"/>
    <w:rsid w:val="00495791"/>
    <w:rsid w:val="004F6631"/>
    <w:rsid w:val="005E1E90"/>
    <w:rsid w:val="00607935"/>
    <w:rsid w:val="00617AD2"/>
    <w:rsid w:val="007731D0"/>
    <w:rsid w:val="007B031E"/>
    <w:rsid w:val="007C0EAD"/>
    <w:rsid w:val="00814149"/>
    <w:rsid w:val="00830F7F"/>
    <w:rsid w:val="008545E9"/>
    <w:rsid w:val="00884765"/>
    <w:rsid w:val="00896B89"/>
    <w:rsid w:val="008A3315"/>
    <w:rsid w:val="008B5784"/>
    <w:rsid w:val="008C305B"/>
    <w:rsid w:val="009151E2"/>
    <w:rsid w:val="0093399F"/>
    <w:rsid w:val="00AB0915"/>
    <w:rsid w:val="00AD79CD"/>
    <w:rsid w:val="00BA3F85"/>
    <w:rsid w:val="00BD6A95"/>
    <w:rsid w:val="00C03D80"/>
    <w:rsid w:val="00C51BE2"/>
    <w:rsid w:val="00CA21F5"/>
    <w:rsid w:val="00CF3F74"/>
    <w:rsid w:val="00D16E42"/>
    <w:rsid w:val="00D21259"/>
    <w:rsid w:val="00D62190"/>
    <w:rsid w:val="00D94F1F"/>
    <w:rsid w:val="00DB77E4"/>
    <w:rsid w:val="00DF18A3"/>
    <w:rsid w:val="00E360C6"/>
    <w:rsid w:val="00E46469"/>
    <w:rsid w:val="00E67FDF"/>
    <w:rsid w:val="00E83085"/>
    <w:rsid w:val="00EB4A05"/>
    <w:rsid w:val="00ED79DE"/>
    <w:rsid w:val="00F15828"/>
    <w:rsid w:val="00F270FD"/>
    <w:rsid w:val="00F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382"/>
  </w:style>
  <w:style w:type="paragraph" w:styleId="Nagwek1">
    <w:name w:val="heading 1"/>
    <w:basedOn w:val="Normalny"/>
    <w:next w:val="Normalny"/>
    <w:link w:val="Nagwek1Znak"/>
    <w:uiPriority w:val="9"/>
    <w:qFormat/>
    <w:rsid w:val="003E6382"/>
    <w:pPr>
      <w:pBdr>
        <w:bottom w:val="single" w:sz="12" w:space="1" w:color="5EA22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382"/>
    <w:pPr>
      <w:pBdr>
        <w:bottom w:val="single" w:sz="8" w:space="1" w:color="7FD13B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382"/>
    <w:pPr>
      <w:pBdr>
        <w:bottom w:val="single" w:sz="4" w:space="1" w:color="B1E38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382"/>
    <w:pPr>
      <w:pBdr>
        <w:bottom w:val="single" w:sz="4" w:space="2" w:color="CBECB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3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3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FD13B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3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3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3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382"/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382"/>
    <w:rPr>
      <w:rFonts w:asciiTheme="majorHAnsi" w:eastAsiaTheme="majorEastAsia" w:hAnsiTheme="majorHAnsi" w:cstheme="majorBidi"/>
      <w:color w:val="5EA22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382"/>
    <w:rPr>
      <w:rFonts w:asciiTheme="majorHAnsi" w:eastAsiaTheme="majorEastAsia" w:hAnsiTheme="majorHAnsi" w:cstheme="majorBidi"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382"/>
    <w:rPr>
      <w:rFonts w:asciiTheme="majorHAnsi" w:eastAsiaTheme="majorEastAsia" w:hAnsiTheme="majorHAnsi" w:cstheme="majorBidi"/>
      <w:i/>
      <w:iCs/>
      <w:color w:val="7FD13B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382"/>
    <w:rPr>
      <w:rFonts w:asciiTheme="majorHAnsi" w:eastAsiaTheme="majorEastAsia" w:hAnsiTheme="majorHAnsi" w:cstheme="majorBidi"/>
      <w:b/>
      <w:bCs/>
      <w:color w:val="FEB80A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382"/>
    <w:rPr>
      <w:rFonts w:asciiTheme="majorHAnsi" w:eastAsiaTheme="majorEastAsia" w:hAnsiTheme="majorHAnsi" w:cstheme="majorBidi"/>
      <w:b/>
      <w:bCs/>
      <w:i/>
      <w:iCs/>
      <w:color w:val="FEB80A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382"/>
    <w:rPr>
      <w:rFonts w:asciiTheme="majorHAnsi" w:eastAsiaTheme="majorEastAsia" w:hAnsiTheme="majorHAnsi" w:cstheme="majorBidi"/>
      <w:i/>
      <w:iCs/>
      <w:color w:val="FEB80A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38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6382"/>
    <w:pPr>
      <w:pBdr>
        <w:top w:val="single" w:sz="8" w:space="10" w:color="BEE89D" w:themeColor="accent1" w:themeTint="7F"/>
        <w:bottom w:val="single" w:sz="24" w:space="15" w:color="FEB80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E6382"/>
    <w:rPr>
      <w:rFonts w:asciiTheme="majorHAnsi" w:eastAsiaTheme="majorEastAsia" w:hAnsiTheme="majorHAnsi" w:cstheme="majorBidi"/>
      <w:i/>
      <w:iCs/>
      <w:color w:val="3E6B19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3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382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382"/>
    <w:rPr>
      <w:b/>
      <w:bCs/>
      <w:spacing w:val="0"/>
    </w:rPr>
  </w:style>
  <w:style w:type="character" w:styleId="Uwydatnienie">
    <w:name w:val="Emphasis"/>
    <w:uiPriority w:val="20"/>
    <w:qFormat/>
    <w:rsid w:val="003E6382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E6382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3E6382"/>
  </w:style>
  <w:style w:type="paragraph" w:styleId="Akapitzlist">
    <w:name w:val="List Paragraph"/>
    <w:basedOn w:val="Normalny"/>
    <w:uiPriority w:val="34"/>
    <w:qFormat/>
    <w:rsid w:val="003E63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E63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382"/>
    <w:pPr>
      <w:pBdr>
        <w:top w:val="single" w:sz="12" w:space="10" w:color="CBECB0" w:themeColor="accent1" w:themeTint="66"/>
        <w:left w:val="single" w:sz="36" w:space="4" w:color="7FD13B" w:themeColor="accent1"/>
        <w:bottom w:val="single" w:sz="24" w:space="10" w:color="FEB80A" w:themeColor="accent3"/>
        <w:right w:val="single" w:sz="36" w:space="4" w:color="7FD13B" w:themeColor="accent1"/>
      </w:pBdr>
      <w:shd w:val="clear" w:color="auto" w:fill="7FD13B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3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FD13B" w:themeFill="accent1"/>
    </w:rPr>
  </w:style>
  <w:style w:type="character" w:styleId="Wyrnieniedelikatne">
    <w:name w:val="Subtle Emphasis"/>
    <w:uiPriority w:val="19"/>
    <w:qFormat/>
    <w:rsid w:val="003E638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E6382"/>
    <w:rPr>
      <w:b/>
      <w:bCs/>
      <w:i/>
      <w:iCs/>
      <w:color w:val="7FD13B" w:themeColor="accent1"/>
      <w:sz w:val="22"/>
      <w:szCs w:val="22"/>
    </w:rPr>
  </w:style>
  <w:style w:type="character" w:styleId="Odwoaniedelikatne">
    <w:name w:val="Subtle Reference"/>
    <w:uiPriority w:val="31"/>
    <w:qFormat/>
    <w:rsid w:val="003E6382"/>
    <w:rPr>
      <w:color w:val="auto"/>
      <w:u w:val="single" w:color="FEB80A" w:themeColor="accent3"/>
    </w:rPr>
  </w:style>
  <w:style w:type="character" w:styleId="Odwoanieintensywne">
    <w:name w:val="Intense Reference"/>
    <w:basedOn w:val="Domylnaczcionkaakapitu"/>
    <w:uiPriority w:val="32"/>
    <w:qFormat/>
    <w:rsid w:val="003E6382"/>
    <w:rPr>
      <w:b/>
      <w:bCs/>
      <w:color w:val="C48B01" w:themeColor="accent3" w:themeShade="BF"/>
      <w:u w:val="single" w:color="FEB80A" w:themeColor="accent3"/>
    </w:rPr>
  </w:style>
  <w:style w:type="character" w:styleId="Tytuksiki">
    <w:name w:val="Book Title"/>
    <w:basedOn w:val="Domylnaczcionkaakapitu"/>
    <w:uiPriority w:val="33"/>
    <w:qFormat/>
    <w:rsid w:val="003E63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382"/>
    <w:pPr>
      <w:outlineLvl w:val="9"/>
    </w:pPr>
  </w:style>
  <w:style w:type="paragraph" w:customStyle="1" w:styleId="Default">
    <w:name w:val="Default"/>
    <w:rsid w:val="00E83085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B7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7E4"/>
  </w:style>
  <w:style w:type="paragraph" w:styleId="Stopka">
    <w:name w:val="footer"/>
    <w:basedOn w:val="Normalny"/>
    <w:link w:val="StopkaZnak"/>
    <w:uiPriority w:val="99"/>
    <w:semiHidden/>
    <w:unhideWhenUsed/>
    <w:rsid w:val="00DB7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7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odziekowanie">
      <a:majorFont>
        <a:latin typeface="Calibri"/>
        <a:ea typeface=""/>
        <a:cs typeface=""/>
      </a:majorFont>
      <a:minorFont>
        <a:latin typeface="Broadway"/>
        <a:ea typeface=""/>
        <a:cs typeface=""/>
      </a:minorFont>
    </a:fontScheme>
    <a:fmtScheme name="Odlewnia metal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D9F5-4E5F-4B25-AB59-B461A0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7</cp:revision>
  <cp:lastPrinted>2018-02-15T08:24:00Z</cp:lastPrinted>
  <dcterms:created xsi:type="dcterms:W3CDTF">2012-11-05T12:27:00Z</dcterms:created>
  <dcterms:modified xsi:type="dcterms:W3CDTF">2018-02-15T08:26:00Z</dcterms:modified>
</cp:coreProperties>
</file>